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D10D85" w:rsidRPr="00D10D85">
        <w:trPr>
          <w:trHeight w:val="317"/>
          <w:jc w:val="center"/>
        </w:trPr>
        <w:tc>
          <w:tcPr>
            <w:tcW w:w="2931" w:type="dxa"/>
            <w:tcBorders>
              <w:top w:val="nil"/>
              <w:left w:val="nil"/>
              <w:bottom w:val="single" w:sz="4" w:space="0" w:color="660066"/>
              <w:right w:val="nil"/>
            </w:tcBorders>
            <w:vAlign w:val="center"/>
            <w:hideMark/>
          </w:tcPr>
          <w:p w:rsidR="00D10D85" w:rsidRPr="00D10D85" w:rsidRDefault="00D10D85" w:rsidP="00D10D85">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D10D85">
              <w:rPr>
                <w:rFonts w:ascii="Arial" w:eastAsia="Times New Roman" w:hAnsi="Arial" w:cs="Arial"/>
                <w:sz w:val="16"/>
                <w:szCs w:val="16"/>
                <w:lang w:eastAsia="tr-TR"/>
              </w:rPr>
              <w:t>28 Ağustos 2019 ÇARŞAMBA</w:t>
            </w:r>
          </w:p>
        </w:tc>
        <w:tc>
          <w:tcPr>
            <w:tcW w:w="2931" w:type="dxa"/>
            <w:tcBorders>
              <w:top w:val="nil"/>
              <w:left w:val="nil"/>
              <w:bottom w:val="single" w:sz="4" w:space="0" w:color="660066"/>
              <w:right w:val="nil"/>
            </w:tcBorders>
            <w:vAlign w:val="center"/>
            <w:hideMark/>
          </w:tcPr>
          <w:p w:rsidR="00D10D85" w:rsidRPr="00D10D85" w:rsidRDefault="00D10D85" w:rsidP="00D10D85">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D10D85">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D10D85" w:rsidRPr="00D10D85" w:rsidRDefault="00D10D85" w:rsidP="00D10D85">
            <w:pPr>
              <w:spacing w:before="100" w:beforeAutospacing="1" w:after="100" w:afterAutospacing="1" w:line="240" w:lineRule="auto"/>
              <w:jc w:val="right"/>
              <w:rPr>
                <w:rFonts w:ascii="Arial" w:eastAsia="Times New Roman" w:hAnsi="Arial" w:cs="Arial"/>
                <w:sz w:val="16"/>
                <w:szCs w:val="16"/>
                <w:lang w:eastAsia="tr-TR"/>
              </w:rPr>
            </w:pPr>
            <w:proofErr w:type="gramStart"/>
            <w:r w:rsidRPr="00D10D85">
              <w:rPr>
                <w:rFonts w:ascii="Arial" w:eastAsia="Times New Roman" w:hAnsi="Arial" w:cs="Arial"/>
                <w:sz w:val="16"/>
                <w:szCs w:val="16"/>
                <w:lang w:eastAsia="tr-TR"/>
              </w:rPr>
              <w:t>Sayı :</w:t>
            </w:r>
            <w:proofErr w:type="gramEnd"/>
            <w:r w:rsidRPr="00D10D85">
              <w:rPr>
                <w:rFonts w:ascii="Arial" w:eastAsia="Times New Roman" w:hAnsi="Arial" w:cs="Arial"/>
                <w:sz w:val="16"/>
                <w:szCs w:val="16"/>
                <w:lang w:eastAsia="tr-TR"/>
              </w:rPr>
              <w:t xml:space="preserve"> 30872</w:t>
            </w:r>
          </w:p>
        </w:tc>
      </w:tr>
      <w:tr w:rsidR="00D10D85" w:rsidRPr="00D10D85">
        <w:trPr>
          <w:trHeight w:val="480"/>
          <w:jc w:val="center"/>
        </w:trPr>
        <w:tc>
          <w:tcPr>
            <w:tcW w:w="8789" w:type="dxa"/>
            <w:gridSpan w:val="3"/>
            <w:vAlign w:val="center"/>
            <w:hideMark/>
          </w:tcPr>
          <w:p w:rsidR="00D10D85" w:rsidRPr="00D10D85" w:rsidRDefault="00D10D85" w:rsidP="00D10D85">
            <w:pPr>
              <w:spacing w:before="100" w:beforeAutospacing="1" w:after="100" w:afterAutospacing="1" w:line="240" w:lineRule="auto"/>
              <w:jc w:val="center"/>
              <w:rPr>
                <w:rFonts w:ascii="Arial" w:eastAsia="Times New Roman" w:hAnsi="Arial" w:cs="Arial"/>
                <w:b/>
                <w:color w:val="000080"/>
                <w:sz w:val="18"/>
                <w:szCs w:val="18"/>
                <w:lang w:eastAsia="tr-TR"/>
              </w:rPr>
            </w:pPr>
            <w:r w:rsidRPr="00D10D85">
              <w:rPr>
                <w:rFonts w:ascii="Arial" w:eastAsia="Times New Roman" w:hAnsi="Arial" w:cs="Arial"/>
                <w:b/>
                <w:color w:val="000080"/>
                <w:sz w:val="18"/>
                <w:szCs w:val="18"/>
                <w:lang w:eastAsia="tr-TR"/>
              </w:rPr>
              <w:t>TEBLİĞ</w:t>
            </w:r>
          </w:p>
        </w:tc>
      </w:tr>
      <w:tr w:rsidR="00D10D85" w:rsidRPr="00D10D85">
        <w:trPr>
          <w:trHeight w:val="480"/>
          <w:jc w:val="center"/>
        </w:trPr>
        <w:tc>
          <w:tcPr>
            <w:tcW w:w="8789" w:type="dxa"/>
            <w:gridSpan w:val="3"/>
            <w:vAlign w:val="center"/>
            <w:hideMark/>
          </w:tcPr>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D10D85">
              <w:rPr>
                <w:rFonts w:ascii="Times New Roman" w:eastAsia="Times New Roman" w:hAnsi="Times New Roman" w:cs="Times New Roman"/>
                <w:sz w:val="18"/>
                <w:szCs w:val="18"/>
                <w:u w:val="single"/>
                <w:lang w:eastAsia="tr-TR"/>
              </w:rPr>
              <w:t>Ticaret Bakanlığından:</w:t>
            </w:r>
          </w:p>
          <w:p w:rsidR="00D10D85" w:rsidRPr="00D10D85" w:rsidRDefault="00D10D85" w:rsidP="00D10D85">
            <w:pPr>
              <w:tabs>
                <w:tab w:val="left" w:pos="566"/>
              </w:tabs>
              <w:spacing w:before="56" w:after="0" w:line="240" w:lineRule="exact"/>
              <w:jc w:val="center"/>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İTHALATTA HAKSIZ REKABETİN ÖNLENMESİNE İLİŞKİN TEBLİĞ</w:t>
            </w:r>
          </w:p>
          <w:p w:rsidR="00D10D85" w:rsidRPr="00D10D85" w:rsidRDefault="00D10D85" w:rsidP="00D10D85">
            <w:pPr>
              <w:tabs>
                <w:tab w:val="left" w:pos="566"/>
              </w:tabs>
              <w:spacing w:after="170" w:line="240" w:lineRule="exact"/>
              <w:jc w:val="center"/>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(TEBLİĞ NO: 2019/27)</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Kapsam</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b/>
                <w:sz w:val="18"/>
                <w:szCs w:val="18"/>
                <w:lang w:eastAsia="tr-TR"/>
              </w:rPr>
              <w:t xml:space="preserve">MADDE 1 – </w:t>
            </w:r>
            <w:r w:rsidRPr="00D10D85">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D10D85">
              <w:rPr>
                <w:rFonts w:ascii="Times New Roman" w:eastAsia="Times New Roman" w:hAnsi="Times New Roman" w:cs="Times New Roman"/>
                <w:sz w:val="18"/>
                <w:szCs w:val="18"/>
                <w:lang w:eastAsia="tr-TR"/>
              </w:rPr>
              <w:t>Gazete’de</w:t>
            </w:r>
            <w:proofErr w:type="spellEnd"/>
            <w:r w:rsidRPr="00D10D85">
              <w:rPr>
                <w:rFonts w:ascii="Times New Roman" w:eastAsia="Times New Roman" w:hAnsi="Times New Roman" w:cs="Times New Roman"/>
                <w:sz w:val="18"/>
                <w:szCs w:val="18"/>
                <w:lang w:eastAsia="tr-TR"/>
              </w:rPr>
              <w:t xml:space="preserve"> yayımlanan İthalatta Haksız Rekabetin Önlenmesi Hakkında Yönetmelikten oluşan İthalatta Haksız Rekabetin Önlenmesi Hakkında Mevzuat hükümleri çerçevesinde 2019 yılında bu Tebliğin yayım tarihine kadar yürürlük süresi dolan dampinge karşı önlemlerin ilanı ile 2020 yılının ilk yarısında süresi dolacak mevcut dampinge karşı önlemlerin ilanını kapsamaktadır.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Dayanak</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b/>
                <w:sz w:val="18"/>
                <w:szCs w:val="18"/>
                <w:lang w:eastAsia="tr-TR"/>
              </w:rPr>
              <w:t xml:space="preserve">MADDE 2 – </w:t>
            </w:r>
            <w:r w:rsidRPr="00D10D85">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D10D85">
              <w:rPr>
                <w:rFonts w:ascii="Times New Roman" w:eastAsia="Times New Roman" w:hAnsi="Times New Roman" w:cs="Times New Roman"/>
                <w:sz w:val="18"/>
                <w:szCs w:val="18"/>
                <w:lang w:eastAsia="tr-TR"/>
              </w:rPr>
              <w:t>Gazete’de</w:t>
            </w:r>
            <w:proofErr w:type="spellEnd"/>
            <w:r w:rsidRPr="00D10D85">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Yürürlük süresi sona eren dampinge karşı önlemler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b/>
                <w:sz w:val="18"/>
                <w:szCs w:val="18"/>
                <w:lang w:eastAsia="tr-TR"/>
              </w:rPr>
              <w:t>MADDE 3 –</w:t>
            </w:r>
            <w:r w:rsidRPr="00D10D85">
              <w:rPr>
                <w:rFonts w:ascii="Times New Roman" w:eastAsia="Times New Roman" w:hAnsi="Times New Roman" w:cs="Times New Roman"/>
                <w:sz w:val="18"/>
                <w:szCs w:val="18"/>
                <w:lang w:eastAsia="tr-TR"/>
              </w:rPr>
              <w:t xml:space="preserve"> (1) Aşağıdaki tabloda yer alan dampinge karşı önlemlerin yürürlükte kalma süresi, 5 inci maddede belirtilen esaslar çerçevesinde karşısında belirtilen tarihte sona ermiştir.</w:t>
            </w:r>
          </w:p>
          <w:p w:rsidR="00D10D85" w:rsidRPr="00D10D85" w:rsidRDefault="00D10D85" w:rsidP="00D10D85">
            <w:pPr>
              <w:tabs>
                <w:tab w:val="left" w:pos="566"/>
              </w:tabs>
              <w:spacing w:after="0" w:line="240" w:lineRule="auto"/>
              <w:jc w:val="center"/>
              <w:rPr>
                <w:rFonts w:ascii="Times New Roman" w:eastAsia="Times New Roman" w:hAnsi="Times New Roman" w:cs="Times New Roman"/>
                <w:sz w:val="18"/>
                <w:szCs w:val="18"/>
                <w:lang w:eastAsia="tr-TR"/>
              </w:rPr>
            </w:pPr>
            <w:r w:rsidRPr="00D10D85">
              <w:rPr>
                <w:rFonts w:ascii="Times New Roman" w:eastAsia="Times New Roman" w:hAnsi="Times New Roman" w:cs="Times New Roman"/>
                <w:noProof/>
                <w:sz w:val="18"/>
                <w:szCs w:val="18"/>
                <w:lang w:eastAsia="tr-TR"/>
              </w:rPr>
              <w:drawing>
                <wp:inline distT="0" distB="0" distL="0" distR="0">
                  <wp:extent cx="4429125" cy="1609725"/>
                  <wp:effectExtent l="0" t="0" r="9525" b="9525"/>
                  <wp:docPr id="2" name="Resim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29125" cy="1609725"/>
                          </a:xfrm>
                          <a:prstGeom prst="rect">
                            <a:avLst/>
                          </a:prstGeom>
                          <a:noFill/>
                          <a:ln>
                            <a:noFill/>
                          </a:ln>
                        </pic:spPr>
                      </pic:pic>
                    </a:graphicData>
                  </a:graphic>
                </wp:inline>
              </w:drawing>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Yürürlük süresi sona erecek dampinge karşı önlemler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b/>
                <w:sz w:val="18"/>
                <w:szCs w:val="18"/>
                <w:lang w:eastAsia="tr-TR"/>
              </w:rPr>
              <w:t>MADDE 4 –</w:t>
            </w:r>
            <w:r w:rsidRPr="00D10D85">
              <w:rPr>
                <w:rFonts w:ascii="Times New Roman" w:eastAsia="Times New Roman" w:hAnsi="Times New Roman" w:cs="Times New Roman"/>
                <w:sz w:val="18"/>
                <w:szCs w:val="18"/>
                <w:lang w:eastAsia="tr-TR"/>
              </w:rPr>
              <w:t xml:space="preserve"> (1) Aşağıdaki tabloda yer alan dampinge karşı önlemlerin yürürlükte kalma süreleri, 5 inci maddede belirtilen esaslar çerçevesinde bir nihai gözden geçirme soruşturması açılmaması halinde karşılarında belirtilen tarihlerde sona erecektir.</w:t>
            </w:r>
          </w:p>
          <w:p w:rsidR="00D10D85" w:rsidRPr="00D10D85" w:rsidRDefault="00D10D85" w:rsidP="00D10D85">
            <w:pPr>
              <w:tabs>
                <w:tab w:val="left" w:pos="566"/>
              </w:tabs>
              <w:spacing w:after="0" w:line="240" w:lineRule="auto"/>
              <w:jc w:val="center"/>
              <w:rPr>
                <w:rFonts w:ascii="Times New Roman" w:eastAsia="Times New Roman" w:hAnsi="Times New Roman" w:cs="Times New Roman"/>
                <w:sz w:val="18"/>
                <w:szCs w:val="18"/>
                <w:lang w:eastAsia="tr-TR"/>
              </w:rPr>
            </w:pPr>
            <w:r w:rsidRPr="00D10D85">
              <w:rPr>
                <w:rFonts w:ascii="Times New Roman" w:eastAsia="Times New Roman" w:hAnsi="Times New Roman" w:cs="Times New Roman"/>
                <w:noProof/>
                <w:sz w:val="18"/>
                <w:szCs w:val="18"/>
                <w:lang w:eastAsia="tr-TR"/>
              </w:rPr>
              <w:lastRenderedPageBreak/>
              <w:drawing>
                <wp:inline distT="0" distB="0" distL="0" distR="0">
                  <wp:extent cx="4429125" cy="5619750"/>
                  <wp:effectExtent l="0" t="0" r="9525" b="0"/>
                  <wp:docPr id="1" name="Resim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9125" cy="5619750"/>
                          </a:xfrm>
                          <a:prstGeom prst="rect">
                            <a:avLst/>
                          </a:prstGeom>
                          <a:noFill/>
                          <a:ln>
                            <a:noFill/>
                          </a:ln>
                        </pic:spPr>
                      </pic:pic>
                    </a:graphicData>
                  </a:graphic>
                </wp:inline>
              </w:drawing>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Nihai gözden geçirme başvurusu ve işlemler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b/>
                <w:sz w:val="18"/>
                <w:szCs w:val="18"/>
                <w:lang w:eastAsia="tr-TR"/>
              </w:rPr>
              <w:t>MADDE 5 –</w:t>
            </w:r>
            <w:r w:rsidRPr="00D10D85">
              <w:rPr>
                <w:rFonts w:ascii="Times New Roman" w:eastAsia="Times New Roman" w:hAnsi="Times New Roman" w:cs="Times New Roman"/>
                <w:sz w:val="18"/>
                <w:szCs w:val="18"/>
                <w:lang w:eastAsia="tr-TR"/>
              </w:rPr>
              <w:t xml:space="preserve"> (1) İthalatta Haksız Rekabetin Önlenmesi Hakkında Yönetmeliğin 35 inci maddesinin birinci fıkrası çerçevesinde; kesin önlemler, yürürlüğe girme tarihlerinden veya damping veya sübvansiyon incelemesi ile zarar incelemesini birlikte kapsayan en son gözden geçirme soruşturmasının sonuçlandığı tarihten itibaren 5 yıl sonra yürürlükten kalkar.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(2) İthalatta Haksız Rekabetin Önlenmesi Hakkında Yönetmeliğin 35 inci maddesi gereğince, 4 üncü maddede belirtilen önlemlerin yürürlük sürelerinin bitiminden önce tabloda yer alan ürünlerin ilgili yerli üretici veya üreticilerinin veya yerli üretim dalı adına hareket ettiğini tevsik eden gerçek veya tüzel kişi ya da kuruluşların, ilgili üründeki önlemin sona ermesinin dampingin ve zararın devam etmesine veya yeniden meydana gelmesine yol açacağı iddiasıyla bir nihai gözden geçirme soruşturması açılması için başvuruda bulunma hakları mevcuttur. İlgili yerli üretici veya üreticilerin veya yerli üretim dalı adına hareket ettiğini tevsik eden gerçek veya tüzel kişi ya da kuruluşların başvurularını yeterli delillerle desteklemeleri esastır.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(3) Nihai gözden geçirme soruşturmasına ilişkin başvuru formuna Ticaret Bakanlığının “https://www.ticaret.gov.tr/ithalat” uzantılı internet sitesinden sırasıyla “Ticaret Politikası Savunma Araçları”, “Damping ve Sübvansiyon”, “Başvuru ve Soru Formları” sekmeleri takip edilerek erişilebilir.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(4) Yeterli deliller ile desteklenmiş yazılı başvuruların, ilgili önlemin sona erme tarihinden en geç üç ay önce, başvuru sahiplerinin kendilerine ait KEP adreslerinden Bakanlığın aşağıda yer alan KEP adresine göndermeleri gerekmektedir.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D10D85">
              <w:rPr>
                <w:rFonts w:ascii="Times New Roman" w:eastAsia="Times New Roman" w:hAnsi="Times New Roman" w:cs="Times New Roman"/>
                <w:sz w:val="18"/>
                <w:szCs w:val="18"/>
                <w:lang w:eastAsia="tr-TR"/>
              </w:rPr>
              <w:t xml:space="preserve">KEP Adresi: </w:t>
            </w:r>
            <w:r w:rsidRPr="00D10D85">
              <w:rPr>
                <w:rFonts w:ascii="Times New Roman" w:eastAsia="Times New Roman" w:hAnsi="Times New Roman" w:cs="Times New Roman"/>
                <w:sz w:val="18"/>
                <w:szCs w:val="18"/>
                <w:u w:val="single"/>
                <w:lang w:eastAsia="tr-TR"/>
              </w:rPr>
              <w:t>ekonomi@hs01.kep.tr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(5) Başvuru İthalat Genel Müdürlüğü tarafından değerlendirilir.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(6) Başvuru formu ve başvuru ile ilgili bilgi, belge, görüş ve danışma için aşağıda belirtilen yetkili merci ile iletişime geçilebilir.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T.C. Ticaret Bakanlığı</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İthalat Genel Müdürlüğü</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Damping ve Sübvansiyon Dairesi</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 xml:space="preserve">Adres: </w:t>
            </w:r>
            <w:proofErr w:type="spellStart"/>
            <w:r w:rsidRPr="00D10D85">
              <w:rPr>
                <w:rFonts w:ascii="Times New Roman" w:eastAsia="Times New Roman" w:hAnsi="Times New Roman" w:cs="Times New Roman"/>
                <w:sz w:val="18"/>
                <w:szCs w:val="18"/>
                <w:lang w:eastAsia="tr-TR"/>
              </w:rPr>
              <w:t>Söğütözü</w:t>
            </w:r>
            <w:proofErr w:type="spellEnd"/>
            <w:r w:rsidRPr="00D10D85">
              <w:rPr>
                <w:rFonts w:ascii="Times New Roman" w:eastAsia="Times New Roman" w:hAnsi="Times New Roman" w:cs="Times New Roman"/>
                <w:sz w:val="18"/>
                <w:szCs w:val="18"/>
                <w:lang w:eastAsia="tr-TR"/>
              </w:rPr>
              <w:t xml:space="preserve"> Mah. 2176. Sok. No:63 Çankaya/ANKARA</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Tel: +90 312 204 75 00</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İnternet adresi: www.ticaret.gov.tr/ithalat</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(7) İthalatta Haksız Rekabetin Önlenmesi Hakkında Yönetmeliğin 35 inci maddesinin beşinci fıkrası çerçevesinde başvurunun geçerli görülmesi halinde “</w:t>
            </w:r>
            <w:proofErr w:type="gramStart"/>
            <w:r w:rsidRPr="00D10D85">
              <w:rPr>
                <w:rFonts w:ascii="Times New Roman" w:eastAsia="Times New Roman" w:hAnsi="Times New Roman" w:cs="Times New Roman"/>
                <w:sz w:val="18"/>
                <w:szCs w:val="18"/>
                <w:lang w:eastAsia="tr-TR"/>
              </w:rPr>
              <w:t>nihai  gözden</w:t>
            </w:r>
            <w:proofErr w:type="gramEnd"/>
            <w:r w:rsidRPr="00D10D85">
              <w:rPr>
                <w:rFonts w:ascii="Times New Roman" w:eastAsia="Times New Roman" w:hAnsi="Times New Roman" w:cs="Times New Roman"/>
                <w:sz w:val="18"/>
                <w:szCs w:val="18"/>
                <w:lang w:eastAsia="tr-TR"/>
              </w:rPr>
              <w:t xml:space="preserve"> geçirme soruşturması” başlatılır.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sz w:val="18"/>
                <w:szCs w:val="18"/>
                <w:lang w:eastAsia="tr-TR"/>
              </w:rPr>
              <w:t>(8) İthalatta Haksız Rekabetin Önlenmesi Hakkında Yönetmeliğin 35 inci maddesinin dördüncü fıkrası hükmünce yürürlükte bulunan dampinge karşı önlem, nihai gözden geçirme soruşturması sonuçlanıncaya kadar yürürlükte kalmaya devam eder.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Yürürlük</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10D85">
              <w:rPr>
                <w:rFonts w:ascii="Times New Roman" w:eastAsia="Times New Roman" w:hAnsi="Times New Roman" w:cs="Times New Roman"/>
                <w:b/>
                <w:sz w:val="18"/>
                <w:szCs w:val="18"/>
                <w:lang w:eastAsia="tr-TR"/>
              </w:rPr>
              <w:t>MADDE 6 –</w:t>
            </w:r>
            <w:r w:rsidRPr="00D10D85">
              <w:rPr>
                <w:rFonts w:ascii="Times New Roman" w:eastAsia="Times New Roman" w:hAnsi="Times New Roman" w:cs="Times New Roman"/>
                <w:sz w:val="18"/>
                <w:szCs w:val="18"/>
                <w:lang w:eastAsia="tr-TR"/>
              </w:rPr>
              <w:t xml:space="preserve"> (1) Bu Tebliğ yayımı tarihinde yürürlüğe girer.</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10D85">
              <w:rPr>
                <w:rFonts w:ascii="Times New Roman" w:eastAsia="Times New Roman" w:hAnsi="Times New Roman" w:cs="Times New Roman"/>
                <w:b/>
                <w:sz w:val="18"/>
                <w:szCs w:val="18"/>
                <w:lang w:eastAsia="tr-TR"/>
              </w:rPr>
              <w:t>Yürütme</w:t>
            </w:r>
          </w:p>
          <w:p w:rsidR="00D10D85" w:rsidRPr="00D10D85" w:rsidRDefault="00D10D85" w:rsidP="00D10D85">
            <w:pPr>
              <w:tabs>
                <w:tab w:val="left" w:pos="566"/>
              </w:tabs>
              <w:spacing w:after="0" w:line="240" w:lineRule="exact"/>
              <w:ind w:firstLine="566"/>
              <w:jc w:val="both"/>
              <w:rPr>
                <w:rFonts w:ascii="Times New Roman" w:eastAsia="Times New Roman" w:hAnsi="Times New Roman" w:cs="Times New Roman"/>
                <w:sz w:val="19"/>
                <w:szCs w:val="20"/>
                <w:lang w:eastAsia="tr-TR"/>
              </w:rPr>
            </w:pPr>
            <w:r w:rsidRPr="00D10D85">
              <w:rPr>
                <w:rFonts w:ascii="Times New Roman" w:eastAsia="Times New Roman" w:hAnsi="Times New Roman" w:cs="Times New Roman"/>
                <w:b/>
                <w:sz w:val="18"/>
                <w:szCs w:val="18"/>
                <w:lang w:eastAsia="tr-TR"/>
              </w:rPr>
              <w:t xml:space="preserve">MADDE 7 – </w:t>
            </w:r>
            <w:r w:rsidRPr="00D10D85">
              <w:rPr>
                <w:rFonts w:ascii="Times New Roman" w:eastAsia="Times New Roman" w:hAnsi="Times New Roman" w:cs="Times New Roman"/>
                <w:sz w:val="18"/>
                <w:szCs w:val="18"/>
                <w:lang w:eastAsia="tr-TR"/>
              </w:rPr>
              <w:t>(1) Bu Tebliğ hükümlerini Ticaret Bakanı yürütür.</w:t>
            </w:r>
          </w:p>
        </w:tc>
      </w:tr>
    </w:tbl>
    <w:p w:rsidR="00302C91" w:rsidRDefault="00302C91">
      <w:bookmarkStart w:id="0" w:name="_GoBack"/>
      <w:bookmarkEnd w:id="0"/>
    </w:p>
    <w:sectPr w:rsidR="0030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85"/>
    <w:rsid w:val="00302C91"/>
    <w:rsid w:val="00D10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26DB6-80BE-4ADB-A0E1-78725D55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D10D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D10D8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D10D8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D10D85"/>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D10D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0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2</cp:revision>
  <dcterms:created xsi:type="dcterms:W3CDTF">2019-08-28T05:43:00Z</dcterms:created>
  <dcterms:modified xsi:type="dcterms:W3CDTF">2019-08-28T05:44:00Z</dcterms:modified>
</cp:coreProperties>
</file>